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50EE" w14:textId="77777777" w:rsidR="00487987" w:rsidRPr="002A2D8F" w:rsidRDefault="00487987">
      <w:pPr>
        <w:rPr>
          <w:b/>
          <w:bCs/>
          <w:sz w:val="28"/>
          <w:szCs w:val="28"/>
        </w:rPr>
      </w:pPr>
      <w:r w:rsidRPr="002A2D8F">
        <w:rPr>
          <w:b/>
          <w:bCs/>
          <w:sz w:val="28"/>
          <w:szCs w:val="28"/>
        </w:rPr>
        <w:t>Selvevalueringsrapport - 2019/20</w:t>
      </w:r>
    </w:p>
    <w:p w14:paraId="3A6A6E63" w14:textId="77777777" w:rsidR="002A2D8F" w:rsidRDefault="002A2D8F">
      <w:pPr>
        <w:rPr>
          <w:b/>
          <w:bCs/>
        </w:rPr>
      </w:pPr>
    </w:p>
    <w:p w14:paraId="2019A116" w14:textId="77777777" w:rsidR="00487987" w:rsidRPr="002A2D8F" w:rsidRDefault="00487987">
      <w:pPr>
        <w:rPr>
          <w:b/>
          <w:bCs/>
        </w:rPr>
      </w:pPr>
      <w:r w:rsidRPr="002A2D8F">
        <w:rPr>
          <w:b/>
          <w:bCs/>
        </w:rPr>
        <w:t>ETU:</w:t>
      </w: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487987" w14:paraId="5417571A" w14:textId="77777777" w:rsidTr="00487987">
        <w:tc>
          <w:tcPr>
            <w:tcW w:w="1604" w:type="dxa"/>
          </w:tcPr>
          <w:p w14:paraId="124589A9" w14:textId="77777777" w:rsidR="00487987" w:rsidRDefault="00487987">
            <w:r>
              <w:t>Område</w:t>
            </w:r>
          </w:p>
        </w:tc>
        <w:tc>
          <w:tcPr>
            <w:tcW w:w="1604" w:type="dxa"/>
          </w:tcPr>
          <w:p w14:paraId="10BEC282" w14:textId="77777777" w:rsidR="00487987" w:rsidRDefault="00487987" w:rsidP="00487987">
            <w:pPr>
              <w:jc w:val="center"/>
            </w:pPr>
            <w:r>
              <w:t>Faglig trivsel</w:t>
            </w:r>
          </w:p>
        </w:tc>
        <w:tc>
          <w:tcPr>
            <w:tcW w:w="1605" w:type="dxa"/>
          </w:tcPr>
          <w:p w14:paraId="0138ABDA" w14:textId="77777777" w:rsidR="00487987" w:rsidRDefault="00487987" w:rsidP="00487987">
            <w:pPr>
              <w:jc w:val="center"/>
            </w:pPr>
            <w:r>
              <w:t>Social Trivsel</w:t>
            </w:r>
          </w:p>
        </w:tc>
        <w:tc>
          <w:tcPr>
            <w:tcW w:w="1605" w:type="dxa"/>
          </w:tcPr>
          <w:p w14:paraId="76258DA1" w14:textId="77777777" w:rsidR="00487987" w:rsidRDefault="00487987" w:rsidP="00487987">
            <w:pPr>
              <w:jc w:val="center"/>
            </w:pPr>
            <w:r>
              <w:t>Læringsmiljø</w:t>
            </w:r>
          </w:p>
        </w:tc>
        <w:tc>
          <w:tcPr>
            <w:tcW w:w="1605" w:type="dxa"/>
          </w:tcPr>
          <w:p w14:paraId="19B7459D" w14:textId="77777777" w:rsidR="00487987" w:rsidRDefault="00487987" w:rsidP="00487987">
            <w:pPr>
              <w:jc w:val="center"/>
            </w:pPr>
            <w:r>
              <w:t>Pres og bekymring</w:t>
            </w:r>
          </w:p>
        </w:tc>
        <w:tc>
          <w:tcPr>
            <w:tcW w:w="1605" w:type="dxa"/>
          </w:tcPr>
          <w:p w14:paraId="26F65B3F" w14:textId="77777777" w:rsidR="00487987" w:rsidRDefault="00487987" w:rsidP="00487987">
            <w:pPr>
              <w:jc w:val="center"/>
            </w:pPr>
            <w:r>
              <w:t>Mobning</w:t>
            </w:r>
          </w:p>
        </w:tc>
      </w:tr>
      <w:tr w:rsidR="00487987" w14:paraId="58664B5B" w14:textId="77777777" w:rsidTr="00487987">
        <w:tc>
          <w:tcPr>
            <w:tcW w:w="1604" w:type="dxa"/>
            <w:shd w:val="clear" w:color="auto" w:fill="B4C6E7" w:themeFill="accent1" w:themeFillTint="66"/>
          </w:tcPr>
          <w:p w14:paraId="1E756AC5" w14:textId="77777777" w:rsidR="00487987" w:rsidRDefault="00487987">
            <w:r>
              <w:t>Lands-</w:t>
            </w:r>
            <w:proofErr w:type="spellStart"/>
            <w:r>
              <w:t>gns</w:t>
            </w:r>
            <w:proofErr w:type="spellEnd"/>
            <w:r>
              <w:t>, Alle</w:t>
            </w:r>
          </w:p>
        </w:tc>
        <w:tc>
          <w:tcPr>
            <w:tcW w:w="1604" w:type="dxa"/>
            <w:shd w:val="clear" w:color="auto" w:fill="B4C6E7" w:themeFill="accent1" w:themeFillTint="66"/>
          </w:tcPr>
          <w:p w14:paraId="198DD7BE" w14:textId="77777777" w:rsidR="00487987" w:rsidRDefault="00487987" w:rsidP="00487987">
            <w:pPr>
              <w:jc w:val="center"/>
            </w:pPr>
            <w:r>
              <w:t>3,8</w:t>
            </w:r>
          </w:p>
        </w:tc>
        <w:tc>
          <w:tcPr>
            <w:tcW w:w="1605" w:type="dxa"/>
            <w:shd w:val="clear" w:color="auto" w:fill="B4C6E7" w:themeFill="accent1" w:themeFillTint="66"/>
          </w:tcPr>
          <w:p w14:paraId="719A5522" w14:textId="77777777" w:rsidR="00487987" w:rsidRDefault="00487987" w:rsidP="00487987">
            <w:pPr>
              <w:jc w:val="center"/>
            </w:pPr>
            <w:r>
              <w:t>4,1</w:t>
            </w:r>
          </w:p>
        </w:tc>
        <w:tc>
          <w:tcPr>
            <w:tcW w:w="1605" w:type="dxa"/>
            <w:shd w:val="clear" w:color="auto" w:fill="B4C6E7" w:themeFill="accent1" w:themeFillTint="66"/>
          </w:tcPr>
          <w:p w14:paraId="48C0F3A2" w14:textId="77777777" w:rsidR="00487987" w:rsidRDefault="00487987" w:rsidP="00487987">
            <w:pPr>
              <w:jc w:val="center"/>
            </w:pPr>
            <w:r>
              <w:t>3,5</w:t>
            </w:r>
          </w:p>
        </w:tc>
        <w:tc>
          <w:tcPr>
            <w:tcW w:w="1605" w:type="dxa"/>
            <w:shd w:val="clear" w:color="auto" w:fill="B4C6E7" w:themeFill="accent1" w:themeFillTint="66"/>
          </w:tcPr>
          <w:p w14:paraId="2D4F787A" w14:textId="77777777" w:rsidR="00487987" w:rsidRDefault="00487987" w:rsidP="00487987">
            <w:pPr>
              <w:jc w:val="center"/>
            </w:pPr>
            <w:r>
              <w:t>2,7</w:t>
            </w:r>
          </w:p>
        </w:tc>
        <w:tc>
          <w:tcPr>
            <w:tcW w:w="1605" w:type="dxa"/>
            <w:shd w:val="clear" w:color="auto" w:fill="B4C6E7" w:themeFill="accent1" w:themeFillTint="66"/>
          </w:tcPr>
          <w:p w14:paraId="5CCDA601" w14:textId="77777777" w:rsidR="00487987" w:rsidRDefault="00487987" w:rsidP="00487987">
            <w:pPr>
              <w:jc w:val="center"/>
            </w:pPr>
            <w:r>
              <w:t>4,7</w:t>
            </w:r>
          </w:p>
        </w:tc>
      </w:tr>
      <w:tr w:rsidR="00487987" w14:paraId="7622F8AA" w14:textId="77777777" w:rsidTr="00487987">
        <w:tc>
          <w:tcPr>
            <w:tcW w:w="1604" w:type="dxa"/>
            <w:shd w:val="clear" w:color="auto" w:fill="8EAADB" w:themeFill="accent1" w:themeFillTint="99"/>
          </w:tcPr>
          <w:p w14:paraId="6765B77A" w14:textId="77777777" w:rsidR="00487987" w:rsidRDefault="00487987">
            <w:r>
              <w:t>Lands-</w:t>
            </w:r>
            <w:proofErr w:type="spellStart"/>
            <w:r>
              <w:t>gns</w:t>
            </w:r>
            <w:proofErr w:type="spellEnd"/>
            <w:r>
              <w:t>, STX</w:t>
            </w:r>
          </w:p>
        </w:tc>
        <w:tc>
          <w:tcPr>
            <w:tcW w:w="1604" w:type="dxa"/>
            <w:shd w:val="clear" w:color="auto" w:fill="8EAADB" w:themeFill="accent1" w:themeFillTint="99"/>
          </w:tcPr>
          <w:p w14:paraId="443C9FDB" w14:textId="77777777" w:rsidR="00487987" w:rsidRDefault="00487987" w:rsidP="00487987">
            <w:pPr>
              <w:jc w:val="center"/>
            </w:pPr>
            <w:r>
              <w:t>3,9</w:t>
            </w:r>
          </w:p>
        </w:tc>
        <w:tc>
          <w:tcPr>
            <w:tcW w:w="1605" w:type="dxa"/>
            <w:shd w:val="clear" w:color="auto" w:fill="8EAADB" w:themeFill="accent1" w:themeFillTint="99"/>
          </w:tcPr>
          <w:p w14:paraId="64CD7AE9" w14:textId="77777777" w:rsidR="00487987" w:rsidRDefault="00487987" w:rsidP="00487987">
            <w:pPr>
              <w:jc w:val="center"/>
            </w:pPr>
            <w:r>
              <w:t>4,2</w:t>
            </w:r>
          </w:p>
        </w:tc>
        <w:tc>
          <w:tcPr>
            <w:tcW w:w="1605" w:type="dxa"/>
            <w:shd w:val="clear" w:color="auto" w:fill="8EAADB" w:themeFill="accent1" w:themeFillTint="99"/>
          </w:tcPr>
          <w:p w14:paraId="39F11B21" w14:textId="77777777" w:rsidR="00487987" w:rsidRDefault="00487987" w:rsidP="00487987">
            <w:pPr>
              <w:jc w:val="center"/>
            </w:pPr>
            <w:r>
              <w:t>3,6</w:t>
            </w:r>
          </w:p>
        </w:tc>
        <w:tc>
          <w:tcPr>
            <w:tcW w:w="1605" w:type="dxa"/>
            <w:shd w:val="clear" w:color="auto" w:fill="8EAADB" w:themeFill="accent1" w:themeFillTint="99"/>
          </w:tcPr>
          <w:p w14:paraId="71AA9CB3" w14:textId="77777777" w:rsidR="00487987" w:rsidRDefault="00487987" w:rsidP="00487987">
            <w:pPr>
              <w:jc w:val="center"/>
            </w:pPr>
            <w:r>
              <w:t>2,6</w:t>
            </w:r>
          </w:p>
        </w:tc>
        <w:tc>
          <w:tcPr>
            <w:tcW w:w="1605" w:type="dxa"/>
            <w:shd w:val="clear" w:color="auto" w:fill="8EAADB" w:themeFill="accent1" w:themeFillTint="99"/>
          </w:tcPr>
          <w:p w14:paraId="394A6574" w14:textId="77777777" w:rsidR="00487987" w:rsidRDefault="00487987" w:rsidP="00487987">
            <w:pPr>
              <w:jc w:val="center"/>
            </w:pPr>
            <w:r>
              <w:t>4,8</w:t>
            </w:r>
          </w:p>
        </w:tc>
      </w:tr>
      <w:tr w:rsidR="00487987" w14:paraId="50C8F8D0" w14:textId="77777777" w:rsidTr="00487987">
        <w:tc>
          <w:tcPr>
            <w:tcW w:w="1604" w:type="dxa"/>
          </w:tcPr>
          <w:p w14:paraId="36AA96AE" w14:textId="77777777" w:rsidR="00487987" w:rsidRPr="00487987" w:rsidRDefault="00487987">
            <w:pPr>
              <w:rPr>
                <w:b/>
                <w:bCs/>
              </w:rPr>
            </w:pPr>
            <w:r w:rsidRPr="00487987">
              <w:rPr>
                <w:b/>
                <w:bCs/>
              </w:rPr>
              <w:t>HKGYM, alle</w:t>
            </w:r>
          </w:p>
        </w:tc>
        <w:tc>
          <w:tcPr>
            <w:tcW w:w="1604" w:type="dxa"/>
            <w:shd w:val="clear" w:color="auto" w:fill="C45911" w:themeFill="accent2" w:themeFillShade="BF"/>
          </w:tcPr>
          <w:p w14:paraId="4963740B" w14:textId="77777777" w:rsidR="00487987" w:rsidRPr="00487987" w:rsidRDefault="00487987" w:rsidP="00487987">
            <w:pPr>
              <w:jc w:val="center"/>
              <w:rPr>
                <w:b/>
                <w:bCs/>
              </w:rPr>
            </w:pPr>
            <w:r w:rsidRPr="00487987">
              <w:rPr>
                <w:b/>
                <w:bCs/>
              </w:rPr>
              <w:t>3,6</w:t>
            </w:r>
          </w:p>
        </w:tc>
        <w:tc>
          <w:tcPr>
            <w:tcW w:w="1605" w:type="dxa"/>
            <w:shd w:val="clear" w:color="auto" w:fill="C5E0B3" w:themeFill="accent6" w:themeFillTint="66"/>
          </w:tcPr>
          <w:p w14:paraId="076793E1" w14:textId="77777777" w:rsidR="00487987" w:rsidRPr="00487987" w:rsidRDefault="00487987" w:rsidP="00487987">
            <w:pPr>
              <w:jc w:val="center"/>
              <w:rPr>
                <w:b/>
                <w:bCs/>
              </w:rPr>
            </w:pPr>
            <w:r w:rsidRPr="00487987">
              <w:rPr>
                <w:b/>
                <w:bCs/>
              </w:rPr>
              <w:t>4,</w:t>
            </w:r>
            <w:r>
              <w:rPr>
                <w:b/>
                <w:bCs/>
              </w:rPr>
              <w:t>3</w:t>
            </w:r>
          </w:p>
        </w:tc>
        <w:tc>
          <w:tcPr>
            <w:tcW w:w="1605" w:type="dxa"/>
            <w:shd w:val="clear" w:color="auto" w:fill="538135" w:themeFill="accent6" w:themeFillShade="BF"/>
          </w:tcPr>
          <w:p w14:paraId="2BA0D5F6" w14:textId="77777777" w:rsidR="00487987" w:rsidRPr="00487987" w:rsidRDefault="00487987" w:rsidP="00487987">
            <w:pPr>
              <w:jc w:val="center"/>
              <w:rPr>
                <w:b/>
                <w:bCs/>
              </w:rPr>
            </w:pPr>
            <w:r w:rsidRPr="00487987">
              <w:rPr>
                <w:b/>
                <w:bCs/>
              </w:rPr>
              <w:t>3,8</w:t>
            </w:r>
          </w:p>
        </w:tc>
        <w:tc>
          <w:tcPr>
            <w:tcW w:w="1605" w:type="dxa"/>
            <w:shd w:val="clear" w:color="auto" w:fill="538135" w:themeFill="accent6" w:themeFillShade="BF"/>
          </w:tcPr>
          <w:p w14:paraId="543D132F" w14:textId="77777777" w:rsidR="00487987" w:rsidRPr="00487987" w:rsidRDefault="00487987" w:rsidP="00487987">
            <w:pPr>
              <w:jc w:val="center"/>
              <w:rPr>
                <w:b/>
                <w:bCs/>
              </w:rPr>
            </w:pPr>
            <w:r w:rsidRPr="00487987">
              <w:rPr>
                <w:b/>
                <w:bCs/>
              </w:rPr>
              <w:t>2,9</w:t>
            </w:r>
          </w:p>
        </w:tc>
        <w:tc>
          <w:tcPr>
            <w:tcW w:w="1605" w:type="dxa"/>
          </w:tcPr>
          <w:p w14:paraId="4615E397" w14:textId="77777777" w:rsidR="00487987" w:rsidRPr="00487987" w:rsidRDefault="00487987" w:rsidP="00487987">
            <w:pPr>
              <w:jc w:val="center"/>
              <w:rPr>
                <w:b/>
                <w:bCs/>
              </w:rPr>
            </w:pPr>
            <w:r w:rsidRPr="00487987">
              <w:rPr>
                <w:b/>
                <w:bCs/>
              </w:rPr>
              <w:t>4,8</w:t>
            </w:r>
          </w:p>
        </w:tc>
      </w:tr>
      <w:tr w:rsidR="00487987" w14:paraId="32D31AB4" w14:textId="77777777" w:rsidTr="00487987">
        <w:tc>
          <w:tcPr>
            <w:tcW w:w="1604" w:type="dxa"/>
          </w:tcPr>
          <w:p w14:paraId="48FE1F0D" w14:textId="77777777" w:rsidR="00487987" w:rsidRPr="00487987" w:rsidRDefault="00487987">
            <w:pPr>
              <w:rPr>
                <w:b/>
                <w:bCs/>
              </w:rPr>
            </w:pPr>
            <w:r w:rsidRPr="00487987">
              <w:rPr>
                <w:b/>
                <w:bCs/>
              </w:rPr>
              <w:t>HKGYM, 1.g</w:t>
            </w:r>
          </w:p>
        </w:tc>
        <w:tc>
          <w:tcPr>
            <w:tcW w:w="1604" w:type="dxa"/>
            <w:shd w:val="clear" w:color="auto" w:fill="C45911" w:themeFill="accent2" w:themeFillShade="BF"/>
          </w:tcPr>
          <w:p w14:paraId="57FA073E" w14:textId="77777777" w:rsidR="00487987" w:rsidRPr="00487987" w:rsidRDefault="00487987" w:rsidP="00487987">
            <w:pPr>
              <w:jc w:val="center"/>
              <w:rPr>
                <w:b/>
                <w:bCs/>
              </w:rPr>
            </w:pPr>
            <w:r w:rsidRPr="00487987">
              <w:rPr>
                <w:b/>
                <w:bCs/>
              </w:rPr>
              <w:t>3,6</w:t>
            </w:r>
          </w:p>
        </w:tc>
        <w:tc>
          <w:tcPr>
            <w:tcW w:w="1605" w:type="dxa"/>
          </w:tcPr>
          <w:p w14:paraId="2DF4C757" w14:textId="77777777" w:rsidR="00487987" w:rsidRPr="00487987" w:rsidRDefault="00487987" w:rsidP="00487987">
            <w:pPr>
              <w:jc w:val="center"/>
              <w:rPr>
                <w:b/>
                <w:bCs/>
              </w:rPr>
            </w:pPr>
            <w:r w:rsidRPr="00487987">
              <w:rPr>
                <w:b/>
                <w:bCs/>
              </w:rPr>
              <w:t>4,2</w:t>
            </w:r>
          </w:p>
        </w:tc>
        <w:tc>
          <w:tcPr>
            <w:tcW w:w="1605" w:type="dxa"/>
            <w:shd w:val="clear" w:color="auto" w:fill="538135" w:themeFill="accent6" w:themeFillShade="BF"/>
          </w:tcPr>
          <w:p w14:paraId="22902B13" w14:textId="77777777" w:rsidR="00487987" w:rsidRPr="00487987" w:rsidRDefault="00487987" w:rsidP="00487987">
            <w:pPr>
              <w:jc w:val="center"/>
              <w:rPr>
                <w:b/>
                <w:bCs/>
              </w:rPr>
            </w:pPr>
            <w:r w:rsidRPr="00487987">
              <w:rPr>
                <w:b/>
                <w:bCs/>
              </w:rPr>
              <w:t>3,9</w:t>
            </w:r>
          </w:p>
        </w:tc>
        <w:tc>
          <w:tcPr>
            <w:tcW w:w="1605" w:type="dxa"/>
            <w:shd w:val="clear" w:color="auto" w:fill="538135" w:themeFill="accent6" w:themeFillShade="BF"/>
          </w:tcPr>
          <w:p w14:paraId="0FD142E9" w14:textId="77777777" w:rsidR="00487987" w:rsidRPr="00487987" w:rsidRDefault="00487987" w:rsidP="00487987">
            <w:pPr>
              <w:jc w:val="center"/>
              <w:rPr>
                <w:b/>
                <w:bCs/>
              </w:rPr>
            </w:pPr>
            <w:r w:rsidRPr="00487987">
              <w:rPr>
                <w:b/>
                <w:bCs/>
              </w:rPr>
              <w:t>2,9</w:t>
            </w:r>
          </w:p>
        </w:tc>
        <w:tc>
          <w:tcPr>
            <w:tcW w:w="1605" w:type="dxa"/>
            <w:shd w:val="clear" w:color="auto" w:fill="F7CAAC" w:themeFill="accent2" w:themeFillTint="66"/>
          </w:tcPr>
          <w:p w14:paraId="6A00914D" w14:textId="77777777" w:rsidR="00487987" w:rsidRPr="00487987" w:rsidRDefault="00487987" w:rsidP="00487987">
            <w:pPr>
              <w:jc w:val="center"/>
              <w:rPr>
                <w:b/>
                <w:bCs/>
              </w:rPr>
            </w:pPr>
            <w:r w:rsidRPr="00487987">
              <w:rPr>
                <w:b/>
                <w:bCs/>
              </w:rPr>
              <w:t>4,7</w:t>
            </w:r>
          </w:p>
        </w:tc>
      </w:tr>
      <w:tr w:rsidR="00487987" w14:paraId="138BA823" w14:textId="77777777" w:rsidTr="00487987">
        <w:tc>
          <w:tcPr>
            <w:tcW w:w="1604" w:type="dxa"/>
          </w:tcPr>
          <w:p w14:paraId="67B43C29" w14:textId="77777777" w:rsidR="00487987" w:rsidRPr="00487987" w:rsidRDefault="00487987">
            <w:pPr>
              <w:rPr>
                <w:b/>
                <w:bCs/>
              </w:rPr>
            </w:pPr>
            <w:r w:rsidRPr="00487987">
              <w:rPr>
                <w:b/>
                <w:bCs/>
              </w:rPr>
              <w:t>HKGYM 2.g</w:t>
            </w:r>
          </w:p>
        </w:tc>
        <w:tc>
          <w:tcPr>
            <w:tcW w:w="1604" w:type="dxa"/>
            <w:shd w:val="clear" w:color="auto" w:fill="C45911" w:themeFill="accent2" w:themeFillShade="BF"/>
          </w:tcPr>
          <w:p w14:paraId="0874E9C2" w14:textId="77777777" w:rsidR="00487987" w:rsidRPr="00487987" w:rsidRDefault="00487987" w:rsidP="00487987">
            <w:pPr>
              <w:jc w:val="center"/>
              <w:rPr>
                <w:b/>
                <w:bCs/>
              </w:rPr>
            </w:pPr>
            <w:r w:rsidRPr="00487987">
              <w:rPr>
                <w:b/>
                <w:bCs/>
              </w:rPr>
              <w:t>3,7</w:t>
            </w:r>
          </w:p>
        </w:tc>
        <w:tc>
          <w:tcPr>
            <w:tcW w:w="1605" w:type="dxa"/>
            <w:shd w:val="clear" w:color="auto" w:fill="538135" w:themeFill="accent6" w:themeFillShade="BF"/>
          </w:tcPr>
          <w:p w14:paraId="08386A6E" w14:textId="77777777" w:rsidR="00487987" w:rsidRPr="00487987" w:rsidRDefault="00487987" w:rsidP="00487987">
            <w:pPr>
              <w:jc w:val="center"/>
              <w:rPr>
                <w:b/>
                <w:bCs/>
              </w:rPr>
            </w:pPr>
            <w:r w:rsidRPr="00487987">
              <w:rPr>
                <w:b/>
                <w:bCs/>
              </w:rPr>
              <w:t>4,4</w:t>
            </w:r>
          </w:p>
        </w:tc>
        <w:tc>
          <w:tcPr>
            <w:tcW w:w="1605" w:type="dxa"/>
            <w:shd w:val="clear" w:color="auto" w:fill="538135" w:themeFill="accent6" w:themeFillShade="BF"/>
          </w:tcPr>
          <w:p w14:paraId="7757C537" w14:textId="77777777" w:rsidR="00487987" w:rsidRPr="00487987" w:rsidRDefault="00487987" w:rsidP="00487987">
            <w:pPr>
              <w:jc w:val="center"/>
              <w:rPr>
                <w:b/>
                <w:bCs/>
              </w:rPr>
            </w:pPr>
            <w:r w:rsidRPr="00487987">
              <w:rPr>
                <w:b/>
                <w:bCs/>
              </w:rPr>
              <w:t>3,7</w:t>
            </w:r>
          </w:p>
        </w:tc>
        <w:tc>
          <w:tcPr>
            <w:tcW w:w="1605" w:type="dxa"/>
            <w:shd w:val="clear" w:color="auto" w:fill="538135" w:themeFill="accent6" w:themeFillShade="BF"/>
          </w:tcPr>
          <w:p w14:paraId="7D35C537" w14:textId="77777777" w:rsidR="00487987" w:rsidRPr="00487987" w:rsidRDefault="00487987" w:rsidP="00487987">
            <w:pPr>
              <w:jc w:val="center"/>
              <w:rPr>
                <w:b/>
                <w:bCs/>
              </w:rPr>
            </w:pPr>
            <w:r w:rsidRPr="00487987">
              <w:rPr>
                <w:b/>
                <w:bCs/>
              </w:rPr>
              <w:t>3,0</w:t>
            </w:r>
          </w:p>
        </w:tc>
        <w:tc>
          <w:tcPr>
            <w:tcW w:w="1605" w:type="dxa"/>
            <w:shd w:val="clear" w:color="auto" w:fill="C5E0B3" w:themeFill="accent6" w:themeFillTint="66"/>
          </w:tcPr>
          <w:p w14:paraId="12DBC119" w14:textId="77777777" w:rsidR="00487987" w:rsidRPr="00487987" w:rsidRDefault="00487987" w:rsidP="00487987">
            <w:pPr>
              <w:jc w:val="center"/>
              <w:rPr>
                <w:b/>
                <w:bCs/>
              </w:rPr>
            </w:pPr>
            <w:r w:rsidRPr="00487987">
              <w:rPr>
                <w:b/>
                <w:bCs/>
              </w:rPr>
              <w:t>4,9</w:t>
            </w:r>
          </w:p>
        </w:tc>
      </w:tr>
    </w:tbl>
    <w:p w14:paraId="6FBE0833" w14:textId="77777777" w:rsidR="00487987" w:rsidRPr="00293D34" w:rsidRDefault="00487987">
      <w:pPr>
        <w:rPr>
          <w:i/>
          <w:iCs/>
        </w:rPr>
      </w:pPr>
      <w:r w:rsidRPr="00293D34">
        <w:rPr>
          <w:i/>
          <w:iCs/>
        </w:rPr>
        <w:t xml:space="preserve">Indeks på trivsel på </w:t>
      </w:r>
      <w:proofErr w:type="spellStart"/>
      <w:r w:rsidRPr="00293D34">
        <w:rPr>
          <w:i/>
          <w:iCs/>
        </w:rPr>
        <w:t>fsk</w:t>
      </w:r>
      <w:proofErr w:type="spellEnd"/>
      <w:r w:rsidRPr="00293D34">
        <w:rPr>
          <w:i/>
          <w:iCs/>
        </w:rPr>
        <w:t xml:space="preserve">. område. Skalaen går fra 0 til 5, hvor 5 er det højest. </w:t>
      </w:r>
      <w:proofErr w:type="spellStart"/>
      <w:r w:rsidRPr="00293D34">
        <w:rPr>
          <w:i/>
          <w:iCs/>
        </w:rPr>
        <w:t>HKGYMs</w:t>
      </w:r>
      <w:proofErr w:type="spellEnd"/>
      <w:r w:rsidRPr="00293D34">
        <w:rPr>
          <w:i/>
          <w:iCs/>
        </w:rPr>
        <w:t xml:space="preserve"> indeks er med grøn baggrund hvor det er højere en </w:t>
      </w:r>
      <w:proofErr w:type="spellStart"/>
      <w:r w:rsidRPr="00293D34">
        <w:rPr>
          <w:i/>
          <w:iCs/>
        </w:rPr>
        <w:t>landsgns</w:t>
      </w:r>
      <w:proofErr w:type="spellEnd"/>
      <w:r w:rsidRPr="00293D34">
        <w:rPr>
          <w:i/>
          <w:iCs/>
        </w:rPr>
        <w:t>, og rød når det er lavere end landsgennemsnittet</w:t>
      </w:r>
      <w:r w:rsidR="00E36546">
        <w:rPr>
          <w:i/>
          <w:iCs/>
        </w:rPr>
        <w:t xml:space="preserve"> (fra 2018-ETU’en)</w:t>
      </w:r>
      <w:r w:rsidRPr="00293D34">
        <w:rPr>
          <w:i/>
          <w:iCs/>
        </w:rPr>
        <w:t>.</w:t>
      </w:r>
    </w:p>
    <w:p w14:paraId="684D8349" w14:textId="77777777" w:rsidR="00487987" w:rsidRDefault="00487987">
      <w:r>
        <w:t>ETU giver ind</w:t>
      </w:r>
      <w:r w:rsidR="002A2D8F">
        <w:t>ek</w:t>
      </w:r>
      <w:r>
        <w:t xml:space="preserve">s på 5 </w:t>
      </w:r>
      <w:proofErr w:type="spellStart"/>
      <w:r>
        <w:t>fsk</w:t>
      </w:r>
      <w:proofErr w:type="spellEnd"/>
      <w:r>
        <w:t xml:space="preserve">. områder. Og på 3 af områderne ligger </w:t>
      </w:r>
      <w:r w:rsidR="00E36546">
        <w:t>HKGYM</w:t>
      </w:r>
      <w:r>
        <w:t xml:space="preserve"> betydeligt over landsgennemsnittet og på et område (mobning) på landsgennemsnittet og på et betydeligt under.</w:t>
      </w:r>
    </w:p>
    <w:p w14:paraId="00B283FB" w14:textId="77777777" w:rsidR="00487987" w:rsidRDefault="00487987">
      <w:r>
        <w:t>På et lille gymnasium som HKGYM er populationen meget lille så derfor kan der forventes ret stort udsving</w:t>
      </w:r>
      <w:r w:rsidR="00E36546">
        <w:t xml:space="preserve"> -</w:t>
      </w:r>
      <w:r w:rsidR="00DE0B4B">
        <w:t xml:space="preserve"> en enkelte meget </w:t>
      </w:r>
      <w:r>
        <w:t>negativ/</w:t>
      </w:r>
      <w:proofErr w:type="spellStart"/>
      <w:r>
        <w:t>postiv</w:t>
      </w:r>
      <w:proofErr w:type="spellEnd"/>
      <w:r>
        <w:t xml:space="preserve"> eller</w:t>
      </w:r>
      <w:r w:rsidR="00DE0B4B">
        <w:t xml:space="preserve"> en enkelt ”sjov” besvarelse </w:t>
      </w:r>
      <w:r w:rsidR="00E36546">
        <w:t>kan få</w:t>
      </w:r>
      <w:r w:rsidR="00DE0B4B">
        <w:t xml:space="preserve"> stor indflydelse.</w:t>
      </w:r>
    </w:p>
    <w:p w14:paraId="5B7DDC58" w14:textId="77777777" w:rsidR="00DE0B4B" w:rsidRDefault="00DE0B4B">
      <w:r>
        <w:t>Men vi synes alligevel at kunne drage nogle forsigtige konklusioner:</w:t>
      </w:r>
    </w:p>
    <w:p w14:paraId="067B0399" w14:textId="77777777" w:rsidR="00DE0B4B" w:rsidRDefault="00DE0B4B">
      <w:r>
        <w:t xml:space="preserve">Vores elever er generelt trygge og føler sig ikke ensomme, og er mindre pressede/stressede en landsgennemsnittet. Til gengæld virker det som om især deres egne faglige forventninger og ambitioner er noget lavere end landsgennemsnittet. Om det skyldes </w:t>
      </w:r>
      <w:proofErr w:type="spellStart"/>
      <w:r>
        <w:t>HKGYMs</w:t>
      </w:r>
      <w:proofErr w:type="spellEnd"/>
      <w:r>
        <w:t xml:space="preserve"> fokus på at være en skole med plads til alle og hvor væredygtighed </w:t>
      </w:r>
      <w:r w:rsidR="00E36546">
        <w:t>er i fokus fremfor</w:t>
      </w:r>
      <w:r>
        <w:t xml:space="preserve"> højt karaktersnit</w:t>
      </w:r>
      <w:r w:rsidR="00E36546">
        <w:t xml:space="preserve"> kan ikke udledes direkte</w:t>
      </w:r>
      <w:r>
        <w:t xml:space="preserve">, men det er påfaldende at de bedømmer sig selv med betydeligt lavere motivation, og udbytte end andre </w:t>
      </w:r>
      <w:proofErr w:type="spellStart"/>
      <w:r>
        <w:t>STX’ere</w:t>
      </w:r>
      <w:proofErr w:type="spellEnd"/>
      <w:r w:rsidR="00157651">
        <w:t xml:space="preserve">. Det gælder næsten samtlige spørgsmål som vedrører eget udbytte, motivation og engagement, </w:t>
      </w:r>
      <w:r w:rsidR="00E36546">
        <w:t>hvor</w:t>
      </w:r>
      <w:r w:rsidR="00157651">
        <w:t xml:space="preserve"> de bedømmer egen indsats og status lavt.</w:t>
      </w:r>
    </w:p>
    <w:p w14:paraId="3845CB8A" w14:textId="77777777" w:rsidR="00157651" w:rsidRDefault="00157651">
      <w:r>
        <w:t xml:space="preserve">Klassemiljøet scorer også højt ved alle spørgsmål om hvordan det er at være i klassen, og om man hjælper og kan få hjælp. </w:t>
      </w:r>
    </w:p>
    <w:p w14:paraId="689E477F" w14:textId="77777777" w:rsidR="00157651" w:rsidRDefault="00157651">
      <w:r>
        <w:t xml:space="preserve">Der hvor </w:t>
      </w:r>
      <w:proofErr w:type="gramStart"/>
      <w:r>
        <w:t>HKGYM eleverne</w:t>
      </w:r>
      <w:proofErr w:type="gramEnd"/>
      <w:r>
        <w:t xml:space="preserve"> er over landsgennemsnittet er i deres indflydelse på skolen og undervisningen, på deres forhold til lærerne og mulighed for støtte, på det sociale og det at høre til. De har også bedre opbakning </w:t>
      </w:r>
      <w:proofErr w:type="spellStart"/>
      <w:r>
        <w:t>hjemmfra</w:t>
      </w:r>
      <w:proofErr w:type="spellEnd"/>
      <w:r>
        <w:t>. Tilsvarende ses det at de er mindre karakterfokuserede, og generelt føler sig mindre pressede over skolen (til gengæld mere presset af ting i kategorien ”andet”)</w:t>
      </w:r>
    </w:p>
    <w:p w14:paraId="1B29AF3A" w14:textId="77777777" w:rsidR="00157651" w:rsidRDefault="00157651">
      <w:proofErr w:type="gramStart"/>
      <w:r>
        <w:t>Også</w:t>
      </w:r>
      <w:proofErr w:type="gramEnd"/>
      <w:r>
        <w:t xml:space="preserve"> kan det også nævnes at INGEN har overvejet at droppe ud, og ganske få synes de er på en forkert skole.</w:t>
      </w:r>
    </w:p>
    <w:p w14:paraId="2934009D" w14:textId="77777777" w:rsidR="00487987" w:rsidRPr="002A2D8F" w:rsidRDefault="00487987">
      <w:pPr>
        <w:rPr>
          <w:b/>
          <w:bCs/>
        </w:rPr>
      </w:pPr>
      <w:r w:rsidRPr="002A2D8F">
        <w:rPr>
          <w:b/>
          <w:bCs/>
        </w:rPr>
        <w:t>Karakterer</w:t>
      </w:r>
    </w:p>
    <w:p w14:paraId="4B0857E2" w14:textId="77777777" w:rsidR="00487987" w:rsidRDefault="002A2D8F">
      <w:r>
        <w:t>Da HKGYM er ganske ung, så er der meget få karakterer at rapportere. Der er blevet afholdt eksamener i AP og NV 2 gange og derudover i samfundsfag og naturgeografi.</w:t>
      </w:r>
    </w:p>
    <w:tbl>
      <w:tblPr>
        <w:tblW w:w="2880" w:type="dxa"/>
        <w:tblCellMar>
          <w:left w:w="70" w:type="dxa"/>
          <w:right w:w="70" w:type="dxa"/>
        </w:tblCellMar>
        <w:tblLook w:val="04A0" w:firstRow="1" w:lastRow="0" w:firstColumn="1" w:lastColumn="0" w:noHBand="0" w:noVBand="1"/>
      </w:tblPr>
      <w:tblGrid>
        <w:gridCol w:w="960"/>
        <w:gridCol w:w="960"/>
        <w:gridCol w:w="960"/>
      </w:tblGrid>
      <w:tr w:rsidR="002A2D8F" w:rsidRPr="002A2D8F" w14:paraId="31C0914B" w14:textId="77777777" w:rsidTr="002A2D8F">
        <w:trPr>
          <w:trHeight w:val="290"/>
        </w:trPr>
        <w:tc>
          <w:tcPr>
            <w:tcW w:w="960"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14:paraId="1A205292"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 </w:t>
            </w:r>
          </w:p>
        </w:tc>
        <w:tc>
          <w:tcPr>
            <w:tcW w:w="960" w:type="dxa"/>
            <w:tcBorders>
              <w:top w:val="single" w:sz="8" w:space="0" w:color="auto"/>
              <w:left w:val="nil"/>
              <w:bottom w:val="single" w:sz="4" w:space="0" w:color="auto"/>
              <w:right w:val="single" w:sz="4" w:space="0" w:color="auto"/>
            </w:tcBorders>
            <w:shd w:val="clear" w:color="000000" w:fill="F2F2F2"/>
            <w:noWrap/>
            <w:vAlign w:val="bottom"/>
            <w:hideMark/>
          </w:tcPr>
          <w:p w14:paraId="650C59DE"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18/19</w:t>
            </w:r>
          </w:p>
        </w:tc>
        <w:tc>
          <w:tcPr>
            <w:tcW w:w="960" w:type="dxa"/>
            <w:tcBorders>
              <w:top w:val="single" w:sz="8" w:space="0" w:color="auto"/>
              <w:left w:val="nil"/>
              <w:bottom w:val="single" w:sz="4" w:space="0" w:color="auto"/>
              <w:right w:val="single" w:sz="8" w:space="0" w:color="auto"/>
            </w:tcBorders>
            <w:shd w:val="clear" w:color="000000" w:fill="F2F2F2"/>
            <w:noWrap/>
            <w:vAlign w:val="bottom"/>
            <w:hideMark/>
          </w:tcPr>
          <w:p w14:paraId="25E087A5"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19/20</w:t>
            </w:r>
          </w:p>
        </w:tc>
      </w:tr>
      <w:tr w:rsidR="002A2D8F" w:rsidRPr="002A2D8F" w14:paraId="1260F990" w14:textId="77777777" w:rsidTr="002A2D8F">
        <w:trPr>
          <w:trHeight w:val="29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4392C79B"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AP</w:t>
            </w:r>
          </w:p>
        </w:tc>
        <w:tc>
          <w:tcPr>
            <w:tcW w:w="960" w:type="dxa"/>
            <w:tcBorders>
              <w:top w:val="nil"/>
              <w:left w:val="nil"/>
              <w:bottom w:val="single" w:sz="4" w:space="0" w:color="auto"/>
              <w:right w:val="single" w:sz="4" w:space="0" w:color="auto"/>
            </w:tcBorders>
            <w:shd w:val="clear" w:color="auto" w:fill="auto"/>
            <w:noWrap/>
            <w:vAlign w:val="bottom"/>
            <w:hideMark/>
          </w:tcPr>
          <w:p w14:paraId="71006B95"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7,7</w:t>
            </w:r>
          </w:p>
        </w:tc>
        <w:tc>
          <w:tcPr>
            <w:tcW w:w="960" w:type="dxa"/>
            <w:tcBorders>
              <w:top w:val="nil"/>
              <w:left w:val="nil"/>
              <w:bottom w:val="single" w:sz="4" w:space="0" w:color="auto"/>
              <w:right w:val="single" w:sz="8" w:space="0" w:color="auto"/>
            </w:tcBorders>
            <w:shd w:val="clear" w:color="auto" w:fill="auto"/>
            <w:noWrap/>
            <w:vAlign w:val="bottom"/>
            <w:hideMark/>
          </w:tcPr>
          <w:p w14:paraId="382C3102"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6,2</w:t>
            </w:r>
          </w:p>
        </w:tc>
      </w:tr>
      <w:tr w:rsidR="002A2D8F" w:rsidRPr="002A2D8F" w14:paraId="085DCC9A" w14:textId="77777777" w:rsidTr="002A2D8F">
        <w:trPr>
          <w:trHeight w:val="29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2D52C901"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NV</w:t>
            </w:r>
          </w:p>
        </w:tc>
        <w:tc>
          <w:tcPr>
            <w:tcW w:w="960" w:type="dxa"/>
            <w:tcBorders>
              <w:top w:val="nil"/>
              <w:left w:val="nil"/>
              <w:bottom w:val="single" w:sz="4" w:space="0" w:color="auto"/>
              <w:right w:val="single" w:sz="4" w:space="0" w:color="auto"/>
            </w:tcBorders>
            <w:shd w:val="clear" w:color="auto" w:fill="auto"/>
            <w:noWrap/>
            <w:vAlign w:val="bottom"/>
            <w:hideMark/>
          </w:tcPr>
          <w:p w14:paraId="5BF5EDF9"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8,4</w:t>
            </w:r>
          </w:p>
        </w:tc>
        <w:tc>
          <w:tcPr>
            <w:tcW w:w="960" w:type="dxa"/>
            <w:tcBorders>
              <w:top w:val="nil"/>
              <w:left w:val="nil"/>
              <w:bottom w:val="single" w:sz="4" w:space="0" w:color="auto"/>
              <w:right w:val="single" w:sz="8" w:space="0" w:color="auto"/>
            </w:tcBorders>
            <w:shd w:val="clear" w:color="auto" w:fill="auto"/>
            <w:noWrap/>
            <w:vAlign w:val="bottom"/>
            <w:hideMark/>
          </w:tcPr>
          <w:p w14:paraId="04B755A8"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8,7</w:t>
            </w:r>
          </w:p>
        </w:tc>
        <w:bookmarkStart w:id="0" w:name="_GoBack"/>
        <w:bookmarkEnd w:id="0"/>
      </w:tr>
      <w:tr w:rsidR="002A2D8F" w:rsidRPr="002A2D8F" w14:paraId="23F71A72" w14:textId="77777777" w:rsidTr="002A2D8F">
        <w:trPr>
          <w:trHeight w:val="290"/>
        </w:trPr>
        <w:tc>
          <w:tcPr>
            <w:tcW w:w="960" w:type="dxa"/>
            <w:tcBorders>
              <w:top w:val="nil"/>
              <w:left w:val="single" w:sz="8" w:space="0" w:color="auto"/>
              <w:bottom w:val="single" w:sz="4" w:space="0" w:color="auto"/>
              <w:right w:val="single" w:sz="4" w:space="0" w:color="auto"/>
            </w:tcBorders>
            <w:shd w:val="clear" w:color="000000" w:fill="D9E1F2"/>
            <w:noWrap/>
            <w:vAlign w:val="bottom"/>
            <w:hideMark/>
          </w:tcPr>
          <w:p w14:paraId="117ED6C3" w14:textId="77777777" w:rsidR="002A2D8F" w:rsidRPr="002A2D8F" w:rsidRDefault="002A2D8F" w:rsidP="002A2D8F">
            <w:pPr>
              <w:spacing w:after="0" w:line="240" w:lineRule="auto"/>
              <w:jc w:val="center"/>
              <w:rPr>
                <w:rFonts w:ascii="Calibri" w:eastAsia="Times New Roman" w:hAnsi="Calibri" w:cs="Calibri"/>
                <w:color w:val="000000"/>
                <w:lang w:eastAsia="da-DK"/>
              </w:rPr>
            </w:pPr>
            <w:proofErr w:type="spellStart"/>
            <w:r w:rsidRPr="002A2D8F">
              <w:rPr>
                <w:rFonts w:ascii="Calibri" w:eastAsia="Times New Roman" w:hAnsi="Calibri" w:cs="Calibri"/>
                <w:color w:val="000000"/>
                <w:lang w:eastAsia="da-DK"/>
              </w:rPr>
              <w:lastRenderedPageBreak/>
              <w:t>samf</w:t>
            </w:r>
            <w:proofErr w:type="spellEnd"/>
            <w:r w:rsidRPr="002A2D8F">
              <w:rPr>
                <w:rFonts w:ascii="Calibri" w:eastAsia="Times New Roman" w:hAnsi="Calibri" w:cs="Calibri"/>
                <w:color w:val="000000"/>
                <w:lang w:eastAsia="da-DK"/>
              </w:rPr>
              <w:t xml:space="preserve"> C</w:t>
            </w:r>
          </w:p>
        </w:tc>
        <w:tc>
          <w:tcPr>
            <w:tcW w:w="960" w:type="dxa"/>
            <w:tcBorders>
              <w:top w:val="nil"/>
              <w:left w:val="nil"/>
              <w:bottom w:val="single" w:sz="4" w:space="0" w:color="auto"/>
              <w:right w:val="single" w:sz="4" w:space="0" w:color="auto"/>
            </w:tcBorders>
            <w:shd w:val="clear" w:color="auto" w:fill="auto"/>
            <w:noWrap/>
            <w:vAlign w:val="bottom"/>
            <w:hideMark/>
          </w:tcPr>
          <w:p w14:paraId="4A01ADC3"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8,8</w:t>
            </w:r>
          </w:p>
        </w:tc>
        <w:tc>
          <w:tcPr>
            <w:tcW w:w="960" w:type="dxa"/>
            <w:tcBorders>
              <w:top w:val="nil"/>
              <w:left w:val="nil"/>
              <w:bottom w:val="single" w:sz="4" w:space="0" w:color="auto"/>
              <w:right w:val="single" w:sz="8" w:space="0" w:color="auto"/>
            </w:tcBorders>
            <w:shd w:val="clear" w:color="auto" w:fill="auto"/>
            <w:noWrap/>
            <w:vAlign w:val="bottom"/>
            <w:hideMark/>
          </w:tcPr>
          <w:p w14:paraId="3D73F126"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 </w:t>
            </w:r>
          </w:p>
        </w:tc>
      </w:tr>
      <w:tr w:rsidR="002A2D8F" w:rsidRPr="002A2D8F" w14:paraId="662E0142" w14:textId="77777777" w:rsidTr="002A2D8F">
        <w:trPr>
          <w:trHeight w:val="300"/>
        </w:trPr>
        <w:tc>
          <w:tcPr>
            <w:tcW w:w="960" w:type="dxa"/>
            <w:tcBorders>
              <w:top w:val="nil"/>
              <w:left w:val="single" w:sz="8" w:space="0" w:color="auto"/>
              <w:bottom w:val="single" w:sz="8" w:space="0" w:color="auto"/>
              <w:right w:val="single" w:sz="4" w:space="0" w:color="auto"/>
            </w:tcBorders>
            <w:shd w:val="clear" w:color="000000" w:fill="D9E1F2"/>
            <w:noWrap/>
            <w:vAlign w:val="bottom"/>
            <w:hideMark/>
          </w:tcPr>
          <w:p w14:paraId="59BE4082" w14:textId="77777777" w:rsidR="002A2D8F" w:rsidRPr="002A2D8F" w:rsidRDefault="002A2D8F" w:rsidP="002A2D8F">
            <w:pPr>
              <w:spacing w:after="0" w:line="240" w:lineRule="auto"/>
              <w:jc w:val="center"/>
              <w:rPr>
                <w:rFonts w:ascii="Calibri" w:eastAsia="Times New Roman" w:hAnsi="Calibri" w:cs="Calibri"/>
                <w:color w:val="000000"/>
                <w:lang w:eastAsia="da-DK"/>
              </w:rPr>
            </w:pPr>
            <w:proofErr w:type="spellStart"/>
            <w:r w:rsidRPr="002A2D8F">
              <w:rPr>
                <w:rFonts w:ascii="Calibri" w:eastAsia="Times New Roman" w:hAnsi="Calibri" w:cs="Calibri"/>
                <w:color w:val="000000"/>
                <w:lang w:eastAsia="da-DK"/>
              </w:rPr>
              <w:t>Ng</w:t>
            </w:r>
            <w:proofErr w:type="spellEnd"/>
            <w:r w:rsidRPr="002A2D8F">
              <w:rPr>
                <w:rFonts w:ascii="Calibri" w:eastAsia="Times New Roman" w:hAnsi="Calibri" w:cs="Calibri"/>
                <w:color w:val="000000"/>
                <w:lang w:eastAsia="da-DK"/>
              </w:rPr>
              <w:t xml:space="preserve"> C</w:t>
            </w:r>
          </w:p>
        </w:tc>
        <w:tc>
          <w:tcPr>
            <w:tcW w:w="960" w:type="dxa"/>
            <w:tcBorders>
              <w:top w:val="nil"/>
              <w:left w:val="nil"/>
              <w:bottom w:val="single" w:sz="8" w:space="0" w:color="auto"/>
              <w:right w:val="single" w:sz="4" w:space="0" w:color="auto"/>
            </w:tcBorders>
            <w:shd w:val="clear" w:color="auto" w:fill="auto"/>
            <w:noWrap/>
            <w:vAlign w:val="bottom"/>
            <w:hideMark/>
          </w:tcPr>
          <w:p w14:paraId="72BDA4CC"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10,1</w:t>
            </w:r>
          </w:p>
        </w:tc>
        <w:tc>
          <w:tcPr>
            <w:tcW w:w="960" w:type="dxa"/>
            <w:tcBorders>
              <w:top w:val="nil"/>
              <w:left w:val="nil"/>
              <w:bottom w:val="single" w:sz="8" w:space="0" w:color="auto"/>
              <w:right w:val="single" w:sz="8" w:space="0" w:color="auto"/>
            </w:tcBorders>
            <w:shd w:val="clear" w:color="auto" w:fill="auto"/>
            <w:noWrap/>
            <w:vAlign w:val="bottom"/>
            <w:hideMark/>
          </w:tcPr>
          <w:p w14:paraId="706823B0" w14:textId="77777777" w:rsidR="002A2D8F" w:rsidRPr="002A2D8F" w:rsidRDefault="002A2D8F" w:rsidP="002A2D8F">
            <w:pPr>
              <w:spacing w:after="0" w:line="240" w:lineRule="auto"/>
              <w:jc w:val="center"/>
              <w:rPr>
                <w:rFonts w:ascii="Calibri" w:eastAsia="Times New Roman" w:hAnsi="Calibri" w:cs="Calibri"/>
                <w:color w:val="000000"/>
                <w:lang w:eastAsia="da-DK"/>
              </w:rPr>
            </w:pPr>
            <w:r w:rsidRPr="002A2D8F">
              <w:rPr>
                <w:rFonts w:ascii="Calibri" w:eastAsia="Times New Roman" w:hAnsi="Calibri" w:cs="Calibri"/>
                <w:color w:val="000000"/>
                <w:lang w:eastAsia="da-DK"/>
              </w:rPr>
              <w:t> </w:t>
            </w:r>
          </w:p>
        </w:tc>
      </w:tr>
    </w:tbl>
    <w:p w14:paraId="0DF33797" w14:textId="77777777" w:rsidR="00E36546" w:rsidRPr="00E36546" w:rsidRDefault="00E36546">
      <w:pPr>
        <w:rPr>
          <w:i/>
          <w:iCs/>
        </w:rPr>
      </w:pPr>
      <w:r>
        <w:rPr>
          <w:i/>
          <w:iCs/>
        </w:rPr>
        <w:t xml:space="preserve">Karakterer fra </w:t>
      </w:r>
      <w:r w:rsidR="003F626A">
        <w:rPr>
          <w:i/>
          <w:iCs/>
        </w:rPr>
        <w:t xml:space="preserve">interne prøver og </w:t>
      </w:r>
      <w:r>
        <w:rPr>
          <w:i/>
          <w:iCs/>
        </w:rPr>
        <w:t>officielle eksamener 20</w:t>
      </w:r>
      <w:r w:rsidR="003F626A">
        <w:rPr>
          <w:i/>
          <w:iCs/>
        </w:rPr>
        <w:t>19</w:t>
      </w:r>
    </w:p>
    <w:p w14:paraId="46A863F0" w14:textId="77777777" w:rsidR="002A2D8F" w:rsidRDefault="002A2D8F">
      <w:r>
        <w:t>Karaktererne er</w:t>
      </w:r>
      <w:r w:rsidR="00E36546">
        <w:t xml:space="preserve"> generelt set over middel,</w:t>
      </w:r>
      <w:r>
        <w:t xml:space="preserve"> og hvor det er muligt at sammenligne med landsgennemsnit så er de langt over.</w:t>
      </w:r>
    </w:p>
    <w:p w14:paraId="450EBDFC" w14:textId="77777777" w:rsidR="00487987" w:rsidRPr="002A2D8F" w:rsidRDefault="00487987">
      <w:pPr>
        <w:rPr>
          <w:b/>
          <w:bCs/>
        </w:rPr>
      </w:pPr>
      <w:r w:rsidRPr="002A2D8F">
        <w:rPr>
          <w:b/>
          <w:bCs/>
        </w:rPr>
        <w:t>Undervisnings-evaluering:</w:t>
      </w:r>
    </w:p>
    <w:p w14:paraId="619B578B" w14:textId="77777777" w:rsidR="00487987" w:rsidRDefault="002A2D8F">
      <w:r>
        <w:t xml:space="preserve">Der er gennemført undervisningsevalueringer i samtlige fag i november måned, og de viser ikke nogen problemer af større art. Det er tilsyneladende normale klasser med et sundt forhold til sine lærere. Der kommer enkelte kommentarer og ønsker om forbedringer, men intet der afviger fra det billede som </w:t>
      </w:r>
      <w:proofErr w:type="spellStart"/>
      <w:r>
        <w:t>ETU’en</w:t>
      </w:r>
      <w:proofErr w:type="spellEnd"/>
      <w:r>
        <w:t xml:space="preserve"> giver at der er et godt forhold mellem lærer og elev. </w:t>
      </w:r>
    </w:p>
    <w:p w14:paraId="1F7A5806" w14:textId="77777777" w:rsidR="00487987" w:rsidRPr="002A2D8F" w:rsidRDefault="00487987">
      <w:pPr>
        <w:rPr>
          <w:b/>
          <w:bCs/>
        </w:rPr>
      </w:pPr>
      <w:r w:rsidRPr="002A2D8F">
        <w:rPr>
          <w:b/>
          <w:bCs/>
        </w:rPr>
        <w:t>Generel stemnings-opsamling:</w:t>
      </w:r>
    </w:p>
    <w:p w14:paraId="338FA091" w14:textId="77777777" w:rsidR="00E36546" w:rsidRDefault="00E36546">
      <w:r>
        <w:t>Hvis man betragter vores elever på HKGYM, er det også vores indtryk at vi har en relativt socialt velfungerende gruppe, som er gode ved og med hinanden, som giver plads til hinanden og som er gode til at tage ansvar overfor deres omgivelser. De er imødekommende og tolerante overfor personer der på den ene eller anden måde stikker ud fra normalen, og man kan mere eller mindre komme i skole som man er.</w:t>
      </w:r>
    </w:p>
    <w:p w14:paraId="280FB1F8" w14:textId="77777777" w:rsidR="00E36546" w:rsidRDefault="00E36546">
      <w:r>
        <w:t>Vi har en del elever med specielle behov, som tilsyneladende stortrives hos os, og føler de bliver accepteret med de behov de har</w:t>
      </w:r>
    </w:p>
    <w:p w14:paraId="7D2B4205" w14:textId="77777777" w:rsidR="00E36546" w:rsidRDefault="00E36546">
      <w:r>
        <w:t xml:space="preserve">Der mangler til tider, og blandt nogle elever, akademiske ambitioner, og lysten til at lære noget, er ikke altid det der vinder over lysten til at have det hyggeligt og sjovt. Den nærhed der er på </w:t>
      </w:r>
      <w:proofErr w:type="gramStart"/>
      <w:r>
        <w:t>stedet</w:t>
      </w:r>
      <w:proofErr w:type="gramEnd"/>
      <w:r>
        <w:t xml:space="preserve"> kan nogle gange virke dæmpende på motivationen til at kæmpe med et fagområde, for at forbedre sin viden.</w:t>
      </w:r>
    </w:p>
    <w:p w14:paraId="7F90AC3A" w14:textId="77777777" w:rsidR="00E36546" w:rsidRDefault="00E36546"/>
    <w:sectPr w:rsidR="00E365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87"/>
    <w:rsid w:val="00157651"/>
    <w:rsid w:val="00293D34"/>
    <w:rsid w:val="002A2D8F"/>
    <w:rsid w:val="003F626A"/>
    <w:rsid w:val="00487987"/>
    <w:rsid w:val="009C527C"/>
    <w:rsid w:val="00D24773"/>
    <w:rsid w:val="00DE0B4B"/>
    <w:rsid w:val="00E36546"/>
    <w:rsid w:val="00E636D0"/>
    <w:rsid w:val="00E812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0FDC"/>
  <w15:chartTrackingRefBased/>
  <w15:docId w15:val="{A6F6BB2C-4FD5-4999-B18C-2AB8F124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8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West Rønne</dc:creator>
  <cp:keywords/>
  <dc:description/>
  <cp:lastModifiedBy>Kurt West Rønne</cp:lastModifiedBy>
  <cp:revision>2</cp:revision>
  <dcterms:created xsi:type="dcterms:W3CDTF">2020-03-02T15:41:00Z</dcterms:created>
  <dcterms:modified xsi:type="dcterms:W3CDTF">2020-03-02T15:41:00Z</dcterms:modified>
</cp:coreProperties>
</file>